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4C" w:rsidRDefault="008D274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274C" w:rsidRDefault="008D274C">
      <w:pPr>
        <w:pStyle w:val="ConsPlusNormal"/>
        <w:jc w:val="both"/>
        <w:outlineLvl w:val="0"/>
      </w:pPr>
    </w:p>
    <w:p w:rsidR="008D274C" w:rsidRDefault="008D274C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8D274C" w:rsidRDefault="008D274C">
      <w:pPr>
        <w:pStyle w:val="ConsPlusTitle"/>
        <w:jc w:val="center"/>
      </w:pPr>
      <w:r>
        <w:t>N АЗ-1119/06</w:t>
      </w:r>
    </w:p>
    <w:p w:rsidR="008D274C" w:rsidRDefault="008D274C">
      <w:pPr>
        <w:pStyle w:val="ConsPlusTitle"/>
        <w:jc w:val="center"/>
      </w:pPr>
    </w:p>
    <w:p w:rsidR="008D274C" w:rsidRDefault="008D274C">
      <w:pPr>
        <w:pStyle w:val="ConsPlusTitle"/>
        <w:jc w:val="center"/>
      </w:pPr>
      <w:r>
        <w:t>ПРОФСОЮЗ РАБОТНИКОВ НАРОДНОГО ОБРАЗОВАНИЯ И НАУКИ</w:t>
      </w:r>
    </w:p>
    <w:p w:rsidR="008D274C" w:rsidRDefault="008D274C">
      <w:pPr>
        <w:pStyle w:val="ConsPlusTitle"/>
        <w:jc w:val="center"/>
      </w:pPr>
      <w:r>
        <w:t>РОССИЙСКОЙ ФЕДЕРАЦИИ</w:t>
      </w:r>
    </w:p>
    <w:p w:rsidR="008D274C" w:rsidRDefault="008D274C">
      <w:pPr>
        <w:pStyle w:val="ConsPlusTitle"/>
        <w:jc w:val="center"/>
      </w:pPr>
      <w:r>
        <w:t>N 287</w:t>
      </w:r>
    </w:p>
    <w:p w:rsidR="008D274C" w:rsidRDefault="008D274C">
      <w:pPr>
        <w:pStyle w:val="ConsPlusTitle"/>
        <w:jc w:val="center"/>
      </w:pPr>
    </w:p>
    <w:p w:rsidR="008D274C" w:rsidRDefault="008D274C">
      <w:pPr>
        <w:pStyle w:val="ConsPlusTitle"/>
        <w:jc w:val="center"/>
      </w:pPr>
      <w:r>
        <w:t>ПИСЬМО</w:t>
      </w:r>
    </w:p>
    <w:p w:rsidR="008D274C" w:rsidRDefault="008D274C">
      <w:pPr>
        <w:pStyle w:val="ConsPlusTitle"/>
        <w:jc w:val="center"/>
      </w:pPr>
      <w:r>
        <w:t>от 27 мая 2024 года</w:t>
      </w:r>
    </w:p>
    <w:p w:rsidR="008D274C" w:rsidRDefault="008D274C">
      <w:pPr>
        <w:pStyle w:val="ConsPlusTitle"/>
        <w:jc w:val="center"/>
      </w:pPr>
    </w:p>
    <w:p w:rsidR="008D274C" w:rsidRDefault="008D274C">
      <w:pPr>
        <w:pStyle w:val="ConsPlusTitle"/>
        <w:jc w:val="center"/>
      </w:pPr>
      <w:r>
        <w:t>О НАПРАВЛЕНИИ РАЗЪЯСНЕНИЙ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 xml:space="preserve">Во исполнение пункта 2 протокола заседания Российской трехсторонней комиссии по регулированию социально-трудовых отношений от 24 ноября 2023 г. N 3пр (далее - РТК), а также пункта 5 протокола РТК от 26 мая 2023 года N 5 Минпросвещения России совместно с Профсоюзом работников народного образования и науки Российской Федерации, Минтрудом России и Рострудом разработаны </w:t>
      </w:r>
      <w:hyperlink w:anchor="P31">
        <w:r>
          <w:rPr>
            <w:color w:val="0000FF"/>
          </w:rPr>
          <w:t>разъяснения</w:t>
        </w:r>
      </w:hyperlink>
      <w:r>
        <w:t xml:space="preserve"> по вопросу оформления трудовых отношений с педагогическими работниками в организациях отдыха детей и их оздоровления, в том числе по совместительству (далее - разъяснения).</w:t>
      </w:r>
    </w:p>
    <w:p w:rsidR="008D274C" w:rsidRDefault="008D27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D27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74C" w:rsidRDefault="008D27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74C" w:rsidRDefault="008D27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74C" w:rsidRDefault="008D27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274C" w:rsidRDefault="008D274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Письмо Минпросвещения России N Пз-741/06 от 16.07.2019, а не от 16.06.2019.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74C" w:rsidRDefault="008D274C">
            <w:pPr>
              <w:pStyle w:val="ConsPlusNormal"/>
            </w:pPr>
          </w:p>
        </w:tc>
      </w:tr>
    </w:tbl>
    <w:p w:rsidR="008D274C" w:rsidRDefault="008D274C">
      <w:pPr>
        <w:pStyle w:val="ConsPlusNormal"/>
        <w:spacing w:before="280"/>
        <w:ind w:firstLine="540"/>
        <w:jc w:val="both"/>
      </w:pPr>
      <w:r>
        <w:t xml:space="preserve">Указанные </w:t>
      </w:r>
      <w:hyperlink w:anchor="P31">
        <w:r>
          <w:rPr>
            <w:color w:val="0000FF"/>
          </w:rPr>
          <w:t>разъяснения</w:t>
        </w:r>
      </w:hyperlink>
      <w:r>
        <w:t xml:space="preserve"> разработаны взамен ранее утвержденных и направленных в субъекты Российской Федерации </w:t>
      </w:r>
      <w:hyperlink r:id="rId5">
        <w:r>
          <w:rPr>
            <w:color w:val="0000FF"/>
          </w:rPr>
          <w:t>разъяснений</w:t>
        </w:r>
      </w:hyperlink>
      <w:r>
        <w:t xml:space="preserve">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совместительству, от 16 июня 2019 г. N Пз-741/06.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Разъяснения направляются для использования в работе в период летней оздоровительной кампании.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jc w:val="right"/>
      </w:pPr>
      <w:r>
        <w:t>Заместитель Министра просвещения</w:t>
      </w:r>
    </w:p>
    <w:p w:rsidR="008D274C" w:rsidRDefault="008D274C">
      <w:pPr>
        <w:pStyle w:val="ConsPlusNormal"/>
        <w:jc w:val="right"/>
      </w:pPr>
      <w:r>
        <w:t>Российской Федерации</w:t>
      </w:r>
    </w:p>
    <w:p w:rsidR="008D274C" w:rsidRDefault="008D274C">
      <w:pPr>
        <w:pStyle w:val="ConsPlusNormal"/>
        <w:jc w:val="right"/>
      </w:pPr>
      <w:r>
        <w:t>А.В.ЗЫРЯНОВА</w:t>
      </w:r>
    </w:p>
    <w:p w:rsidR="008D274C" w:rsidRDefault="008D274C">
      <w:pPr>
        <w:pStyle w:val="ConsPlusNormal"/>
        <w:jc w:val="right"/>
      </w:pPr>
    </w:p>
    <w:p w:rsidR="008D274C" w:rsidRDefault="008D274C">
      <w:pPr>
        <w:pStyle w:val="ConsPlusNormal"/>
        <w:jc w:val="right"/>
      </w:pPr>
      <w:r>
        <w:t>Заместитель Председателя</w:t>
      </w:r>
    </w:p>
    <w:p w:rsidR="008D274C" w:rsidRDefault="008D274C">
      <w:pPr>
        <w:pStyle w:val="ConsPlusNormal"/>
        <w:jc w:val="right"/>
      </w:pPr>
      <w:r>
        <w:t>Общероссийского профсоюза образования</w:t>
      </w:r>
    </w:p>
    <w:p w:rsidR="008D274C" w:rsidRDefault="008D274C">
      <w:pPr>
        <w:pStyle w:val="ConsPlusNormal"/>
        <w:jc w:val="right"/>
      </w:pPr>
      <w:r>
        <w:t>Т.В.КУПРИЯНОВА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  <w:outlineLvl w:val="0"/>
      </w:pPr>
      <w:bookmarkStart w:id="0" w:name="P31"/>
      <w:bookmarkEnd w:id="0"/>
      <w:r>
        <w:t>Направляются разъяснения по вопросам оформления трудовых отношений с педагогическими работниками в организациях отдыха детей и их оздоровления, в том числе по совместительству, подготовленные Министерством просвещения Российской Федерации совместно с Профессиональным союзом работников народного образования и науки Российской Федерации, Минтрудом России и Рострудом.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hyperlink r:id="rId6">
        <w:r>
          <w:rPr>
            <w:color w:val="0000FF"/>
          </w:rPr>
          <w:t>Пунктом 21 статьи 2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установлено, что педагогическим работником является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Право на занятие педагогической деятельностью установлено </w:t>
      </w:r>
      <w:hyperlink r:id="rId7">
        <w:r>
          <w:rPr>
            <w:color w:val="0000FF"/>
          </w:rPr>
          <w:t>статьей 46</w:t>
        </w:r>
      </w:hyperlink>
      <w:r>
        <w:t xml:space="preserve"> Федерального закона N 273-ФЗ.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части 2 статьи 46</w:t>
        </w:r>
      </w:hyperlink>
      <w:r>
        <w:t xml:space="preserve"> должности педагогических работников организаций, осуществляющих образовательную деятельность, перечислены в </w:t>
      </w:r>
      <w:hyperlink r:id="rId9">
        <w:r>
          <w:rPr>
            <w:color w:val="0000FF"/>
          </w:rPr>
          <w:t>номенклатуре</w:t>
        </w:r>
      </w:hyperlink>
      <w:r>
        <w:t>, утвержденной постановлением Правительства Российской Федерации от 21 февраля 2022 г. N 225.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К организациям, осуществляющим образовательную деятельность, в соответствии с </w:t>
      </w:r>
      <w:hyperlink r:id="rId10">
        <w:r>
          <w:rPr>
            <w:color w:val="0000FF"/>
          </w:rPr>
          <w:t>пунктом 20 статьи 2</w:t>
        </w:r>
      </w:hyperlink>
      <w:r>
        <w:t xml:space="preserve"> Федерального закона N 273-ФЗ относятся образовательные организации, а также организации, осуществляющие обучение, к которым приравниваются индивидуальные предприниматели, осуществляющие образовательную деятельность. При этом согласно </w:t>
      </w:r>
      <w:hyperlink r:id="rId11">
        <w:r>
          <w:rPr>
            <w:color w:val="0000FF"/>
          </w:rPr>
          <w:t>пункту 19</w:t>
        </w:r>
      </w:hyperlink>
      <w:r>
        <w:t xml:space="preserve"> этой же статьи организацией, осуществляющей обучение, является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 статьи 31</w:t>
        </w:r>
      </w:hyperlink>
      <w:r>
        <w:t xml:space="preserve"> Федерального закона N 273-ФЗ к организациям, осуществляющим обучение, относятся в том числе осуществляющие образовательную деятельность организации, осуществляющие оздоровление и (или) отдых.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Кроме того, в соответствии с этой же </w:t>
      </w:r>
      <w:hyperlink r:id="rId13">
        <w:r>
          <w:rPr>
            <w:color w:val="0000FF"/>
          </w:rPr>
          <w:t>статьей</w:t>
        </w:r>
      </w:hyperlink>
      <w:r>
        <w:t>: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части 3</w:t>
        </w:r>
      </w:hyperlink>
      <w:r>
        <w:t xml:space="preserve"> организации, осуществляющие оздоровление и (или) отдых,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>
        <w:r>
          <w:rPr>
            <w:color w:val="0000FF"/>
          </w:rPr>
          <w:t>части 6</w:t>
        </w:r>
      </w:hyperlink>
      <w:r>
        <w:t xml:space="preserve">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1</w:t>
        </w:r>
      </w:hyperlink>
      <w:r>
        <w:t xml:space="preserve"> Федерального закона от 24 июля 1998 г. N 124-ФЗ "Об основных гарантиях прав ребенка в Российской Федерации" (далее - Федеральный закон N 124-ФЗ) к организациям отдыха детей и их оздоровления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реализации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N 124-ФЗ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N 124-ФЗ.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9">
        <w:r>
          <w:rPr>
            <w:color w:val="0000FF"/>
          </w:rPr>
          <w:t>приказу</w:t>
        </w:r>
      </w:hyperlink>
      <w:r>
        <w:t xml:space="preserve"> Министерства образования и науки Российской Федерации от 13 июля 2017 года N 656 (зарегистрирован Минюстом России 1 августа 2017 г., регистрационный N 47607) "Об утверждении примерных положений об организациях отдыха детей и их оздоровления" утверждены следующие положения, определяющие типологию лагерей: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lastRenderedPageBreak/>
        <w:t>примерное положение об организациях отдыха детей и их оздоровления сезонного действия или круглогодичного действия;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примерное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примерное положение о детских лагерях труда и отдыха;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примерное положение о детских лагерях палаточного типа;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примерное положение о детских специализированных (профильных) лагерях, детских лагерях различной тематической направленности.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В рамках настоящих разъяснений рассматриваются трудовые отношения с педагогическими работниками в организациях отдыха детей и их оздоровления, осуществляющих образовательную деятельность на основании лицензии на осуществление образовательной деятельности (далее - организация). Для осуществления своей деятельности организация в зависимости от сезонного или круглогодичного их действия может иметь штат педагогических работников, для которых организация является местом основной работы, а также привлекать для выполнения педагогической работы лиц, для которых работа будет осуществляться по совместительству, в том числе в период нахождения их в ежегодных основных удлиненных и ежегодных дополнительных оплачиваемых отпусков, предоставляемых в других организациях.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Трудовые отношения регулируются трудовым законодательством и иными нормативными правовыми актами, содержащими нормы трудового права, в том числе в случаях выполнения работы по совместительству.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Title"/>
        <w:jc w:val="center"/>
        <w:outlineLvl w:val="1"/>
      </w:pPr>
      <w:r>
        <w:t>II. Заключение трудового договора с педагогическими</w:t>
      </w:r>
    </w:p>
    <w:p w:rsidR="008D274C" w:rsidRDefault="008D274C">
      <w:pPr>
        <w:pStyle w:val="ConsPlusTitle"/>
        <w:jc w:val="center"/>
      </w:pPr>
      <w:r>
        <w:t>работниками в организации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Normal"/>
        <w:ind w:firstLine="540"/>
        <w:jc w:val="both"/>
      </w:pPr>
      <w: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Российской Федерации (</w:t>
      </w:r>
      <w:hyperlink r:id="rId20">
        <w:r>
          <w:rPr>
            <w:color w:val="0000FF"/>
          </w:rPr>
          <w:t>статья 16</w:t>
        </w:r>
      </w:hyperlink>
      <w:r>
        <w:t xml:space="preserve"> Кодекса) (далее - Кодекс).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1. Особенности регулирования труда педагогических работников, в том числе в организациях, предусматриваются в соответствии с </w:t>
      </w:r>
      <w:hyperlink r:id="rId21">
        <w:r>
          <w:rPr>
            <w:color w:val="0000FF"/>
          </w:rPr>
          <w:t>главой 52</w:t>
        </w:r>
      </w:hyperlink>
      <w:r>
        <w:t xml:space="preserve"> Кодекса, с положениями </w:t>
      </w:r>
      <w:hyperlink r:id="rId22">
        <w:r>
          <w:rPr>
            <w:color w:val="0000FF"/>
          </w:rPr>
          <w:t>статьи 47</w:t>
        </w:r>
      </w:hyperlink>
      <w:r>
        <w:t xml:space="preserve"> Федерального закона N 273-ФЗ, другими законодательными и иными нормативными правовыми актами, а также актами, принимаемыми в виде рекомендаций &lt;1&gt;. Требования к педагогическим работникам, в частности к их образованию, квалификации, прохождению аттестации, отсутствию судимости за отдельные преступления (</w:t>
      </w:r>
      <w:hyperlink r:id="rId23">
        <w:r>
          <w:rPr>
            <w:color w:val="0000FF"/>
          </w:rPr>
          <w:t>ч. 1 ст. 46</w:t>
        </w:r>
      </w:hyperlink>
      <w:r>
        <w:t xml:space="preserve">, </w:t>
      </w:r>
      <w:hyperlink r:id="rId24">
        <w:r>
          <w:rPr>
            <w:color w:val="0000FF"/>
          </w:rPr>
          <w:t>п. 8 ч. 1 ст. 48</w:t>
        </w:r>
      </w:hyperlink>
      <w:r>
        <w:t xml:space="preserve"> Федерального закона N 273-ФЗ, </w:t>
      </w:r>
      <w:hyperlink r:id="rId25">
        <w:r>
          <w:rPr>
            <w:color w:val="0000FF"/>
          </w:rPr>
          <w:t>ч. 2 ст. 331</w:t>
        </w:r>
      </w:hyperlink>
      <w:r>
        <w:t xml:space="preserve"> Кодекса).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&lt;1&gt; Например, примерное </w:t>
      </w:r>
      <w:hyperlink r:id="rId26">
        <w:r>
          <w:rPr>
            <w:color w:val="0000FF"/>
          </w:rPr>
          <w:t>положение</w:t>
        </w:r>
      </w:hyperlink>
      <w:r>
        <w:t xml:space="preserve"> о нормах профессиональной этики педагогических работников. (Письмо Минпросвещения России от 20.08.2019 N ИП-941/06/484).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 xml:space="preserve">Работодатель при приеме педагогического работника на работу заключает с ним трудовой договор в порядке и на условиях, установленных </w:t>
      </w:r>
      <w:hyperlink r:id="rId27">
        <w:r>
          <w:rPr>
            <w:color w:val="0000FF"/>
          </w:rPr>
          <w:t>главой 11</w:t>
        </w:r>
      </w:hyperlink>
      <w:r>
        <w:t xml:space="preserve"> Кодекса, в том числе ведет на него трудовую книжку (формирует сведения о трудовой деятельности в электронном виде).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Должностные обязанности (трудовая функция) педагогических работников указываются в трудовых договорах, отнесенных к обязательным для включения в трудовой договор условиям (</w:t>
      </w:r>
      <w:hyperlink r:id="rId28">
        <w:r>
          <w:rPr>
            <w:color w:val="0000FF"/>
          </w:rPr>
          <w:t>ст. 57</w:t>
        </w:r>
      </w:hyperlink>
      <w:r>
        <w:t xml:space="preserve"> Кодекса), либо предусматриваются в должностных инструкциях работников, разрабатываемых в соответствии с квалификационными характеристиками &lt;2&gt;, являющихся приложением к </w:t>
      </w:r>
      <w:r>
        <w:lastRenderedPageBreak/>
        <w:t>трудовому договору (далее - трудовой договор).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9">
        <w:r>
          <w:rPr>
            <w:color w:val="0000FF"/>
          </w:rPr>
          <w:t>Приказ</w:t>
        </w:r>
      </w:hyperlink>
      <w:r>
        <w:t xml:space="preserve">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>Также обязательными для включения в трудовой договор являются следующие условия: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место работы (с указанием обособленного структурного подразделения и его местонахождения);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дата начала работы;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условия оплаты труда (в том числе размер должностного оклада, доплаты, надбавки и поощрительные выплаты, включая выплаты компенсационного и стимулирующего характера);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режим рабочего времени и времени отдыха;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условие об обязательном социальном страховании работника.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Обязанности того или иного работника вытекают прежде всего из выполняемой им трудовой функции (работы по должности в соответствии со штатным расписанием с указанием квалификации; конкретного вида поручаемой работнику работы), которые могут быть закреплены в трудовом договоре.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Трудовой договор, содержащий должностные (трудовые) обязанности работника по замещаемой должности, также допускает уточнение перечня работ, которые свойственны соответствующей должности в конкретных организационно-педагогических условиях (</w:t>
      </w:r>
      <w:hyperlink r:id="rId30">
        <w:r>
          <w:rPr>
            <w:color w:val="0000FF"/>
          </w:rPr>
          <w:t>п. 5</w:t>
        </w:r>
      </w:hyperlink>
      <w:r>
        <w:t xml:space="preserve"> раздела "Общие положения" квалификационных характеристик приказа N 761н).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Внесение изменений в трудовой договор может быть связано с изменением определенных сторонами условий трудового договора (</w:t>
      </w:r>
      <w:hyperlink r:id="rId31">
        <w:r>
          <w:rPr>
            <w:color w:val="0000FF"/>
          </w:rPr>
          <w:t>статьи 72</w:t>
        </w:r>
      </w:hyperlink>
      <w:r>
        <w:t xml:space="preserve">, </w:t>
      </w:r>
      <w:hyperlink r:id="rId32">
        <w:r>
          <w:rPr>
            <w:color w:val="0000FF"/>
          </w:rPr>
          <w:t>74</w:t>
        </w:r>
      </w:hyperlink>
      <w:r>
        <w:t xml:space="preserve"> ТК РФ). В этом случае должны быть соблюдены требования о заблаговременном (не менее чем за 2 месяца) письменном уведомлении об этом работника, содержащим информацию о причинах, вызвавших необходимость таких изменений.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Работодатель обязан предоставить работнику работу, обусловленную трудовым договором (</w:t>
      </w:r>
      <w:hyperlink r:id="rId33">
        <w:r>
          <w:rPr>
            <w:color w:val="0000FF"/>
          </w:rPr>
          <w:t>статья 22</w:t>
        </w:r>
      </w:hyperlink>
      <w:r>
        <w:t xml:space="preserve"> Кодекса). Требовать от работника выполнения работы, не обусловленной трудовым договором, запрещается (</w:t>
      </w:r>
      <w:hyperlink r:id="rId34">
        <w:r>
          <w:rPr>
            <w:color w:val="0000FF"/>
          </w:rPr>
          <w:t>статья 60</w:t>
        </w:r>
      </w:hyperlink>
      <w:r>
        <w:t xml:space="preserve"> Кодекса).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2. На основании </w:t>
      </w:r>
      <w:hyperlink r:id="rId35">
        <w:r>
          <w:rPr>
            <w:color w:val="0000FF"/>
          </w:rPr>
          <w:t>статей 60.1</w:t>
        </w:r>
      </w:hyperlink>
      <w:r>
        <w:t xml:space="preserve"> и </w:t>
      </w:r>
      <w:hyperlink r:id="rId36">
        <w:r>
          <w:rPr>
            <w:color w:val="0000FF"/>
          </w:rPr>
          <w:t>282</w:t>
        </w:r>
      </w:hyperlink>
      <w:r>
        <w:t xml:space="preserve"> Кодекса работник, имеющий основное место работы,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D274C" w:rsidRDefault="008D274C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Кодекс</w:t>
        </w:r>
      </w:hyperlink>
      <w:r>
        <w:t xml:space="preserve"> в исключение из общих правил предусматривает установление особенностей регулирования труда по совместительству для педагогических работников (</w:t>
      </w:r>
      <w:hyperlink r:id="rId38">
        <w:r>
          <w:rPr>
            <w:color w:val="0000FF"/>
          </w:rPr>
          <w:t>часть шестая статьи 282</w:t>
        </w:r>
      </w:hyperlink>
      <w:r>
        <w:t xml:space="preserve"> </w:t>
      </w:r>
      <w:r>
        <w:lastRenderedPageBreak/>
        <w:t>Кодекса).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Такие особенности установлены </w:t>
      </w:r>
      <w:hyperlink r:id="rId39">
        <w:r>
          <w:rPr>
            <w:color w:val="0000FF"/>
          </w:rPr>
          <w:t>постановлением</w:t>
        </w:r>
      </w:hyperlink>
      <w:r>
        <w:t xml:space="preserve"> Минтруда России от 30 июня 2003 г. N 41 "Об особенностях работы по совместительству педагогических, медицинских, фармацевтических работников и работников культуры".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Указанные работники вправе выполнять другую регулярную оплачиваемую работу на условиях трудового договора в свободное от основной работы время по месту их основной работы или в других организациях, в том числе по аналогичной должности, специальности, профессии, и в случаях, когда установлена сокращенная продолжительность рабочего времени.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t>III. Особенности регулирования рабочего времени</w:t>
      </w:r>
    </w:p>
    <w:p w:rsidR="008D274C" w:rsidRDefault="008D274C">
      <w:pPr>
        <w:pStyle w:val="ConsPlusTitle"/>
        <w:jc w:val="center"/>
      </w:pPr>
      <w:r>
        <w:t>педагогических работников в организации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Normal"/>
        <w:ind w:firstLine="540"/>
        <w:jc w:val="both"/>
      </w:pPr>
      <w:r>
        <w:t xml:space="preserve">В соответствии со </w:t>
      </w:r>
      <w:hyperlink r:id="rId40">
        <w:r>
          <w:rPr>
            <w:color w:val="0000FF"/>
          </w:rPr>
          <w:t>статьями 92</w:t>
        </w:r>
      </w:hyperlink>
      <w:r>
        <w:t xml:space="preserve"> и </w:t>
      </w:r>
      <w:hyperlink r:id="rId41">
        <w:r>
          <w:rPr>
            <w:color w:val="0000FF"/>
          </w:rPr>
          <w:t>333</w:t>
        </w:r>
      </w:hyperlink>
      <w:r>
        <w:t xml:space="preserve"> Кодекса педагогическим работникам организаций устанавливается сокращенная продолжительность рабочего времени, не более 36 часов работы в неделю.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2">
        <w:r>
          <w:rPr>
            <w:color w:val="0000FF"/>
          </w:rPr>
          <w:t>частью третьей статьи 333</w:t>
        </w:r>
      </w:hyperlink>
      <w:r>
        <w:t xml:space="preserve"> Кодекса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федеральным органом исполнительной власти в установленном данной </w:t>
      </w:r>
      <w:hyperlink r:id="rId43">
        <w:r>
          <w:rPr>
            <w:color w:val="0000FF"/>
          </w:rPr>
          <w:t>статьей</w:t>
        </w:r>
      </w:hyperlink>
      <w:r>
        <w:t xml:space="preserve"> порядке.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настоящее время регулирование указанных вопросов в отношении педагогических работников осуществляется в соответствии с </w:t>
      </w:r>
      <w:hyperlink r:id="rId44">
        <w:r>
          <w:rPr>
            <w:color w:val="0000FF"/>
          </w:rPr>
          <w:t>приказом</w:t>
        </w:r>
      </w:hyperlink>
      <w:r>
        <w:t xml:space="preserve"> Минобрнауки России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 (далее - приказ Минобрнауки России N 1601), с учетом типа организаций, осуществляющих образовательную деятельность (включая организации, осуществляющие обучение, независимо от их организационно-правовой формы), в которых выполняется педагогическая работа, и занимаемой в организации должности, а также других особенностей.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Следует иметь в виду, что </w:t>
      </w:r>
      <w:hyperlink r:id="rId45">
        <w:r>
          <w:rPr>
            <w:color w:val="0000FF"/>
          </w:rPr>
          <w:t>приказом</w:t>
        </w:r>
      </w:hyperlink>
      <w:r>
        <w:t xml:space="preserve"> Минобрнауки России N 1601 для одних педагогических работников установлена продолжительность рабочего времени, составляющая 36 или 30 часов в неделю, а для других - нормы часов педагогической работы за ставку заработной платы, составляющие 18, 20, 24, 25, 30 или 36 часов в неделю, в зависимости от должности и особенностей труда, являющиеся расчетными величинами для исчисления заработной платы с учетом фактического объема педагогической работы в неделю.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К примеру, продолжительность рабочего времени, составляющая 36 часов работы в неделю, предусмотрена </w:t>
      </w:r>
      <w:hyperlink r:id="rId46">
        <w:r>
          <w:rPr>
            <w:color w:val="0000FF"/>
          </w:rPr>
          <w:t>пунктом 2.1</w:t>
        </w:r>
      </w:hyperlink>
      <w:r>
        <w:t xml:space="preserve"> приложения 1 к приказу Минобрнауки России N 1601 для педагогов-психологов, методистов, инструкторов-методистов, социальных педагогов, педагогов-организаторов, старших вожатых.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Нормы часов педагогической работы за ставку заработной платы предусмотрены для педагогических работников </w:t>
      </w:r>
      <w:hyperlink r:id="rId47">
        <w:r>
          <w:rPr>
            <w:color w:val="0000FF"/>
          </w:rPr>
          <w:t>пунктами 2.3</w:t>
        </w:r>
      </w:hyperlink>
      <w:r>
        <w:t xml:space="preserve"> - </w:t>
      </w:r>
      <w:hyperlink r:id="rId48">
        <w:r>
          <w:rPr>
            <w:color w:val="0000FF"/>
          </w:rPr>
          <w:t>2.8</w:t>
        </w:r>
      </w:hyperlink>
      <w:r>
        <w:t xml:space="preserve"> приложения 1 к приказу Минобрнауки России N 1601.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При этом педагогические работники не лишены права осуществлять трудовую деятельность сверх сокращенной продолжительности рабочего времени, работая по совместительству, или выполняя с письменного согласия педагогическую работу сверх норм часов педагогической работы, установленных за ставку заработной платы, с соответствующей оплатой труда, а также </w:t>
      </w:r>
      <w:r>
        <w:lastRenderedPageBreak/>
        <w:t>дополнительную работу, не входящую в должностные обязанности, за дополнительную оплату.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Продолжительность работы по совместительству педагогических работников не может превышать половины месячной нормы рабочего времени, исчисленной из установленной продолжительности рабочей недели по должности, по которой работа осуществляется по совместительству (</w:t>
      </w:r>
      <w:hyperlink r:id="rId49">
        <w:r>
          <w:rPr>
            <w:color w:val="0000FF"/>
          </w:rPr>
          <w:t>глава 44</w:t>
        </w:r>
      </w:hyperlink>
      <w:r>
        <w:t xml:space="preserve"> Кодекса). При этом продолжительность рабочего времени по совместительству определяется исходя из продолжительности рабочего времени (норм часов педагогической работы, установленных за ставку заработной платы), установленных для конкретной должности педагогических работников.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0">
        <w:r>
          <w:rPr>
            <w:color w:val="0000FF"/>
          </w:rPr>
          <w:t>статьей 334</w:t>
        </w:r>
      </w:hyperlink>
      <w:r>
        <w:t xml:space="preserve"> Кодекса 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 (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мая 2015 г. N 466, действующего до 1 сентября 2024 г. Далее применяется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2024 г. N 415).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t>IV. Особенности регулирования рабочего времени</w:t>
      </w:r>
    </w:p>
    <w:p w:rsidR="008D274C" w:rsidRDefault="008D274C">
      <w:pPr>
        <w:pStyle w:val="ConsPlusTitle"/>
        <w:jc w:val="center"/>
      </w:pPr>
      <w:r>
        <w:t>педагогических работников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Normal"/>
        <w:ind w:firstLine="540"/>
        <w:jc w:val="both"/>
      </w:pPr>
      <w:r>
        <w:t xml:space="preserve">В соответствии с </w:t>
      </w:r>
      <w:hyperlink r:id="rId53">
        <w:r>
          <w:rPr>
            <w:color w:val="0000FF"/>
          </w:rPr>
          <w:t>пунктом 4.1</w:t>
        </w:r>
      </w:hyperlink>
      <w:r>
        <w:t xml:space="preserve"> приказа Минобрнауки России от 11 мая 2016 г.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 (далее - приказ N 536) периоды каникулярного времени, установленные для обучающихся соответствующих образовательных организаций и не совпадающие для педагогических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эти периоды согласно </w:t>
      </w:r>
      <w:hyperlink r:id="rId54">
        <w:r>
          <w:rPr>
            <w:color w:val="0000FF"/>
          </w:rPr>
          <w:t>пункту 4.2</w:t>
        </w:r>
      </w:hyperlink>
      <w:r>
        <w:t xml:space="preserve"> указанного приказа уточняется режим рабочего времени педагогических работников, которые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объема учебной (тренировочной) нагрузки (педагогической работы), определенной им до начала каникулярного времени, а также времени, необходимого для выполнения работ, предусмотренных </w:t>
      </w:r>
      <w:hyperlink r:id="rId55">
        <w:r>
          <w:rPr>
            <w:color w:val="0000FF"/>
          </w:rPr>
          <w:t>пунктом 2.3</w:t>
        </w:r>
      </w:hyperlink>
      <w:r>
        <w:t xml:space="preserve"> приказа N 536 (при условии, что выполнение таких работ планируется в каникулярное время).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Продолжительность рабочего времени учителей в каникулярный период не изменяется и фактически соответствует нормируемой части рабочего времени, связанной с их учебной нагрузкой в период учебного года, поскольку выполнение иных видов работы (классное руководство, проверка письменных работ, участие в работе методобъединений и т.д.) не имеет конкретной их продолжительности в часах, минутах.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В случае если в каникулярный период образовательные организации обеспечивают отдых детей и их оздоровление, а, к примеру, учителя, не находящиеся в отпуске, привлекаются для педагогической работы с такими детьми, то работодатели не вправе устанавливать им в каникулярное время, не совпадающее с их отпуском, продолжительность рабочего времени, предусмотренную для воспитателей.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Вместе с тем, в каникулярный период может изменяться характер работы таких педагогических работников и перечень выполняемых ими работ (обязанностей).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Основанием для уточнения перечня работ по должностям работников образования в указанные периоды, не совпадающие с отпусками работников, являются: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56">
        <w:r>
          <w:rPr>
            <w:color w:val="0000FF"/>
          </w:rPr>
          <w:t>раздел</w:t>
        </w:r>
      </w:hyperlink>
      <w:r>
        <w:t xml:space="preserve"> "Общие положения" квалификационных характеристик должностей работников образования приказа Минздравсоцразвития России N 761н;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- </w:t>
      </w:r>
      <w:hyperlink r:id="rId57">
        <w:r>
          <w:rPr>
            <w:color w:val="0000FF"/>
          </w:rPr>
          <w:t>раздел IV</w:t>
        </w:r>
      </w:hyperlink>
      <w:r>
        <w:t xml:space="preserve"> "Режим рабочего времени педагогических работников и иных работников в каникулярное время приказа Минобрнауки России от 11 мая 2016 года N 536.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8">
        <w:r>
          <w:rPr>
            <w:color w:val="0000FF"/>
          </w:rPr>
          <w:t>пунктом 5</w:t>
        </w:r>
      </w:hyperlink>
      <w:r>
        <w:t xml:space="preserve"> раздела "Общие положения" квалификационных характеристик должностей работников образования приказа N 761н допускается уточнение перечня выполняемых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работников; отмена для обучающихся, воспитанников учебных занятий; изменение режима образовательного процесса по санитарно-эпидемиологическим, климатическим и иным основаниям и т.п.).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Привлечение к работе в каникулярное время, не совпадающее с отпуском, осуществляется на основании соответствующих распорядительных актов работодателя, в которых одновременно определяются выполняемые работниками обязанности и график работы.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К примеру, в уточненный перечень работ педагогических работников в каникулярный период, не совпадающий с их отпуском, могут быть включены обязанности, предусмотренные квалификационными характеристиками по должностям воспитателей.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При составлении графика работы объем установленной недельной учебной нагрузки (педагогической работы) в эти периоды с письменного согласия педагогических работников может быть выполнен с согласия работника за меньшее количество дней в неделю или месяц по сравнению с установленным до этого расписанием учебных занятий (графиком работы), но с большей ежедневной продолжительностью рабочего времени, т.е. введен суммированный учет рабочего времени в порядке, установленном </w:t>
      </w:r>
      <w:hyperlink r:id="rId59">
        <w:r>
          <w:rPr>
            <w:color w:val="0000FF"/>
          </w:rPr>
          <w:t>ст. 104</w:t>
        </w:r>
      </w:hyperlink>
      <w:r>
        <w:t xml:space="preserve"> ТК РФ.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За время работы в указанных случаях оплата труда учителей и других педагогических работников производится из расчета заработной платы, установленной им при тарификации, предшествующей этим периодам, т.е. с учетом сохранения всех выплат, связанных с оплатой за весь установленный объем учебной нагрузки (педагогической работы), а также с выплатами компенсационного и стимулирующего характера, носящими постоянный характер в течение учебного года.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Если отдых и оздоровление детей осуществляется в организациях, осуществляющих лечение, оздоровление и (или) отдых, а также социальное обслуживание, то согласно </w:t>
      </w:r>
      <w:hyperlink r:id="rId60">
        <w:r>
          <w:rPr>
            <w:color w:val="0000FF"/>
          </w:rPr>
          <w:t>пункту 6.1 раздела VI</w:t>
        </w:r>
      </w:hyperlink>
      <w:r>
        <w:t xml:space="preserve"> приложения к приказу N 536 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этих организациях, определяется в порядке и на условиях, предусмотренных для режима рабочего времени педагогических работников и иных работников в каникулярное время.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Привлечение учителей, других педагогических работников, а также иных работников в каникулярное время, не совпадающее с их отпуском, к работе в качестве руководителей длительных (без возвращения в тот же день) походов, экспедиций, экскурсий, путешествий в другую местность согласно </w:t>
      </w:r>
      <w:hyperlink r:id="rId61">
        <w:r>
          <w:rPr>
            <w:color w:val="0000FF"/>
          </w:rPr>
          <w:t>пункту 6.2</w:t>
        </w:r>
      </w:hyperlink>
      <w:r>
        <w:t xml:space="preserve"> приказа N 536 допускается в соответствии с законодательством Российской Федерации &lt;3&gt;.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2">
        <w:r>
          <w:rPr>
            <w:color w:val="0000FF"/>
          </w:rPr>
          <w:t>Глава 24</w:t>
        </w:r>
      </w:hyperlink>
      <w:r>
        <w:t xml:space="preserve"> Кодекса "Гарантии при направлении работников в служебные командировки, другие служебные поездки и переезда на работу в другую местность".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Title"/>
        <w:jc w:val="center"/>
        <w:outlineLvl w:val="1"/>
      </w:pPr>
      <w:r>
        <w:t>V. Ограничения в применении гражданско-правовых договоров</w:t>
      </w:r>
    </w:p>
    <w:p w:rsidR="008D274C" w:rsidRDefault="008D274C">
      <w:pPr>
        <w:pStyle w:val="ConsPlusTitle"/>
        <w:jc w:val="center"/>
      </w:pPr>
      <w:r>
        <w:lastRenderedPageBreak/>
        <w:t>в организациях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 xml:space="preserve">В соответствии со </w:t>
      </w:r>
      <w:hyperlink r:id="rId63">
        <w:r>
          <w:rPr>
            <w:color w:val="0000FF"/>
          </w:rPr>
          <w:t>статьей 15</w:t>
        </w:r>
      </w:hyperlink>
      <w:r>
        <w:t xml:space="preserve"> Кодекса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договором, являются трудовыми отношениями.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 этом заключение гражданско-правовых договоров, фактически регулирующих трудовые отношения между работником и работодателем, не допускаются (</w:t>
      </w:r>
      <w:hyperlink r:id="rId64">
        <w:r>
          <w:rPr>
            <w:color w:val="0000FF"/>
          </w:rPr>
          <w:t>абзац второй статьи 15</w:t>
        </w:r>
      </w:hyperlink>
      <w:r>
        <w:t xml:space="preserve"> Кодекса).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Так, договор гражданско-правового характера направлен на оказание каких-либо услуг в определенной сфере деятельности и его применение возможно в том случае, когда договор подряда либо возмездного оказания услуг заключается для выполнения определенного вида работы, результат которой подрядчик или исполнитель обязан сдать, а заказчик принять и оплатить. Следовательно, целью договора подряда либо возмездного оказания услуг является не выполнение работы как таковой, а получение результата, который может быть передан заказчику.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Таким образом, деятельность педагогического работника предполагает выполнение определенных трудовых обязанностей в определенной должности (соблюдение расписания занятий, правил внутреннего трудового распорядка и так далее) и не может быть оформлена по гражданско-правовому договору.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t>VI. Регулирование в организациях выполнения работы</w:t>
      </w:r>
    </w:p>
    <w:p w:rsidR="008D274C" w:rsidRDefault="008D274C">
      <w:pPr>
        <w:pStyle w:val="ConsPlusTitle"/>
        <w:jc w:val="center"/>
      </w:pPr>
      <w:r>
        <w:t>за пределами установленной продолжительности рабочего</w:t>
      </w:r>
    </w:p>
    <w:p w:rsidR="008D274C" w:rsidRDefault="008D274C">
      <w:pPr>
        <w:pStyle w:val="ConsPlusTitle"/>
        <w:jc w:val="center"/>
      </w:pPr>
      <w:r>
        <w:t>времени по инициативе работодателя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 xml:space="preserve">Работа, выполняемая педагогическим работником по инициативе работодателя за пределами установленной для него продолжительности рабочего времени, ежедневной работы, а при суммированном учете рабочего времени - сверх нормального числа рабочих часов за учетный период, является сверхурочной работой, за исключением выполнения сверх установленной нормы педагогической работы с письменного согласия педагогического работника, на которую они соглашаются при определении конкретного объема педагогической работы при заключении трудового договора в случаях, предусмотренных </w:t>
      </w:r>
      <w:hyperlink r:id="rId65">
        <w:r>
          <w:rPr>
            <w:color w:val="0000FF"/>
          </w:rPr>
          <w:t>пунктом 4</w:t>
        </w:r>
      </w:hyperlink>
      <w:r>
        <w:t xml:space="preserve"> примечания, содержащегося в приложении N 1 к приказу Минобрнауки России N 1601.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Условия и порядок привлечения к сверхурочной работе педагогических работников, для которых установлена продолжительность рабочего времени, регулируются положениями </w:t>
      </w:r>
      <w:hyperlink r:id="rId66">
        <w:r>
          <w:rPr>
            <w:color w:val="0000FF"/>
          </w:rPr>
          <w:t>статьи 99</w:t>
        </w:r>
      </w:hyperlink>
      <w:r>
        <w:t xml:space="preserve"> Кодекса. При этом привлечение к сверхурочным работам в случаях, предусмотренных указанной </w:t>
      </w:r>
      <w:hyperlink r:id="rId67">
        <w:r>
          <w:rPr>
            <w:color w:val="0000FF"/>
          </w:rPr>
          <w:t>статьей</w:t>
        </w:r>
      </w:hyperlink>
      <w:r>
        <w:t>, возможно только с письменного согласия работника, в том числе в случаях продолжения работы при неявке сменяющего работника, если работа не допускает перерыва, к примеру, при неявке сменяющего воспитателя в связи с болезнью или по другим причинам.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Работодатели должны при этом учитывать, что продолжительность сверхурочной работы не должна превышать для каждого работника 4 часов в течение двух дней подряд (120 часов в год при круглогодичном функционировании организации), в связи с чем работодатель обязан принять меры по замене сменяющего работника другим работником.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Работодатель обязан обеспечить точный учет продолжительности сверхурочной работы каждого работника.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lastRenderedPageBreak/>
        <w:t xml:space="preserve">Сверхурочная работа компенсируется повышенной оплатой в соответствии со </w:t>
      </w:r>
      <w:hyperlink r:id="rId68">
        <w:r>
          <w:rPr>
            <w:color w:val="0000FF"/>
          </w:rPr>
          <w:t>статьей 152</w:t>
        </w:r>
      </w:hyperlink>
      <w:r>
        <w:t xml:space="preserve"> Кодекса: за первые два часа работы - не менее чем в полуторном размере, за последующие часы - не менее чем в двойном размере. Конкретные размеры оплаты за сверхурочную работу могут определяться коллективным договором, локальным нормативным актом или трудовым договором.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t>VII. Оплата труда педагогических и других</w:t>
      </w:r>
    </w:p>
    <w:p w:rsidR="008D274C" w:rsidRDefault="008D274C">
      <w:pPr>
        <w:pStyle w:val="ConsPlusTitle"/>
        <w:jc w:val="center"/>
      </w:pPr>
      <w:r>
        <w:t>работников организаций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Normal"/>
        <w:ind w:firstLine="540"/>
        <w:jc w:val="both"/>
      </w:pPr>
      <w:r>
        <w:t>Вопросы по установлению размеров и условий оплаты труда работников учреждений, финансовое обеспечение которых осуществляется из бюджетов субъектов Российской Федерации и муниципальных бюджетов, отнесены соответственно к полномочиям органов государственной власти субъектов Российской Федерации и органов местного самоуправления.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9">
        <w:r>
          <w:rPr>
            <w:color w:val="0000FF"/>
          </w:rPr>
          <w:t>статье 144</w:t>
        </w:r>
      </w:hyperlink>
      <w:r>
        <w:t xml:space="preserve"> Кодекса системы оплаты труда (в том числе тарифные системы оплаты труда) работников государственных учреждений субъектов Российской Федерации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Заработная плата работнику устанавливается трудовым договором в соответствии с действующими у работодателя системами оплаты труда (</w:t>
      </w:r>
      <w:hyperlink r:id="rId70">
        <w:r>
          <w:rPr>
            <w:color w:val="0000FF"/>
          </w:rPr>
          <w:t>часть 1 статьи 135</w:t>
        </w:r>
      </w:hyperlink>
      <w:r>
        <w:t xml:space="preserve"> Кодекса).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Единым </w:t>
      </w:r>
      <w:hyperlink r:id="rId71">
        <w:r>
          <w:rPr>
            <w:color w:val="0000FF"/>
          </w:rPr>
          <w:t>рекомендациям</w:t>
        </w:r>
      </w:hyperlink>
      <w: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утвержденным Российской трехсторонней комиссией по регулированию социально-трудовых отношений, размеры окладов (должностных окладов), ставок заработной платы работников федеральных государственных учреждений устанавливаются на основе профессиональных квалификационных групп (квалификационных уровней ПКГ) в соответствии с примерным </w:t>
      </w:r>
      <w:hyperlink r:id="rId72">
        <w:r>
          <w:rPr>
            <w:color w:val="0000FF"/>
          </w:rPr>
          <w:t>положением</w:t>
        </w:r>
      </w:hyperlink>
      <w:r>
        <w:t xml:space="preserve"> "Об оплате труда работников федеральных государственных бюджетных и автономных учреждений, подведомственных Министерству просвещения Российской Федерации, по видам экономической деятельности", утвержденным приказом Минпросвещения России от 3 ноября 2023 г. N 829, которые могут использоваться при регулировании систем оплаты труда в организациях сферы образования, находящихся в ведении органов исполнительной власти субъектов РФ и муниципальных образований.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Вопросы определения размеров оплаты труда работников следует осуществлять по согласованию с выборным органом первичной профсоюзной организации.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t>VIII. Реализация права на отпуск при увольнении работника</w:t>
      </w:r>
    </w:p>
    <w:p w:rsidR="008D274C" w:rsidRDefault="008D274C">
      <w:pPr>
        <w:pStyle w:val="ConsPlusTitle"/>
        <w:jc w:val="center"/>
      </w:pPr>
      <w:r>
        <w:t>из организации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 xml:space="preserve">В соответствии со </w:t>
      </w:r>
      <w:hyperlink r:id="rId73">
        <w:r>
          <w:rPr>
            <w:color w:val="0000FF"/>
          </w:rPr>
          <w:t>статьей 127</w:t>
        </w:r>
      </w:hyperlink>
      <w:r>
        <w:t xml:space="preserve"> Кодекса работнику при увольнении выплачивается денежная компенсация за все неиспользованные отпуска.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При увольнении в связи с истечением срока трудового договора отпуск с последующим </w:t>
      </w:r>
      <w:r>
        <w:lastRenderedPageBreak/>
        <w:t>увольнением может предоставляться и тогда, когда время отпуска полностью или частично выходит за пределы срока трудового договора. В этом случае днем увольнения также считается последний день отпуска.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Продолжительность отпуска, исходя из которого определяется денежная компенсация за неиспользованный отпуск, определяется путем деления установленной по занимаемой должности продолжительности отпуска на 12 месяцев.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Например, по должностям работников с продолжительностью отпуска, составляющей 28, 42, 56 календарных дней, денежная компенсация выплачивается соответственно из расчета: 2,33 календарных дней (28 : 12 = 2,33); 3,5 календарных дней (42 : 12 = 3,5); 4,67 календарных дней (56 : 12 = 4,67).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При этом, денежная компенсация за неиспользованный отпуск при увольнении работника исчисляется исходя из среднего заработка за количество неиспользованных дней отпуска с учетом рабочего года работника.</w:t>
      </w:r>
    </w:p>
    <w:p w:rsidR="008D274C" w:rsidRDefault="008D274C">
      <w:pPr>
        <w:pStyle w:val="ConsPlusNormal"/>
        <w:jc w:val="center"/>
      </w:pPr>
    </w:p>
    <w:p w:rsidR="008D274C" w:rsidRDefault="008D274C">
      <w:pPr>
        <w:pStyle w:val="ConsPlusTitle"/>
        <w:jc w:val="center"/>
        <w:outlineLvl w:val="1"/>
      </w:pPr>
      <w:r>
        <w:t>IX. Привлечение к работе в организации студентов,</w:t>
      </w:r>
    </w:p>
    <w:p w:rsidR="008D274C" w:rsidRDefault="008D274C">
      <w:pPr>
        <w:pStyle w:val="ConsPlusTitle"/>
        <w:jc w:val="center"/>
      </w:pPr>
      <w:r>
        <w:t>осваивающих образовательные программы высшего образования</w:t>
      </w:r>
    </w:p>
    <w:p w:rsidR="008D274C" w:rsidRDefault="008D274C">
      <w:pPr>
        <w:pStyle w:val="ConsPlusTitle"/>
        <w:jc w:val="center"/>
      </w:pPr>
      <w:r>
        <w:t>или среднего профессионального образования, в том числе</w:t>
      </w:r>
    </w:p>
    <w:p w:rsidR="008D274C" w:rsidRDefault="008D274C">
      <w:pPr>
        <w:pStyle w:val="ConsPlusTitle"/>
        <w:jc w:val="center"/>
      </w:pPr>
      <w:r>
        <w:t>на должности педагогического работника</w:t>
      </w:r>
    </w:p>
    <w:p w:rsidR="008D274C" w:rsidRDefault="008D274C">
      <w:pPr>
        <w:pStyle w:val="ConsPlusNormal"/>
        <w:ind w:firstLine="540"/>
        <w:jc w:val="both"/>
      </w:pPr>
    </w:p>
    <w:p w:rsidR="008D274C" w:rsidRDefault="008D274C">
      <w:pPr>
        <w:pStyle w:val="ConsPlusNormal"/>
        <w:ind w:firstLine="540"/>
        <w:jc w:val="both"/>
      </w:pPr>
      <w:r>
        <w:t xml:space="preserve">В соответствии с </w:t>
      </w:r>
      <w:hyperlink r:id="rId74">
        <w:r>
          <w:rPr>
            <w:color w:val="0000FF"/>
          </w:rPr>
          <w:t>частью первой статьи 331</w:t>
        </w:r>
      </w:hyperlink>
      <w:r>
        <w:t xml:space="preserve"> Кодекса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5">
        <w:r>
          <w:rPr>
            <w:color w:val="0000FF"/>
          </w:rPr>
          <w:t>статье 46</w:t>
        </w:r>
      </w:hyperlink>
      <w:r>
        <w:t xml:space="preserve"> Федерального закона N 273-ФЗ право для занятия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6">
        <w:r>
          <w:rPr>
            <w:color w:val="0000FF"/>
          </w:rPr>
          <w:t>пунктом 20</w:t>
        </w:r>
      </w:hyperlink>
      <w:r>
        <w:t xml:space="preserve"> Порядка организации и осуществления образовательной деятельности по дополнительным общеобразовательным программам, утвержденного приказом Минпросвещения России от 27 июля 2022 г. N 629,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Вместе с тем в соответствии с </w:t>
      </w:r>
      <w:hyperlink r:id="rId77">
        <w:r>
          <w:rPr>
            <w:color w:val="0000FF"/>
          </w:rPr>
          <w:t>пунктом 9 раздела 1</w:t>
        </w:r>
      </w:hyperlink>
      <w:r>
        <w:t xml:space="preserve"> ЕКС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 так же, как и лица, имеющие специальную подготовку и стаж работы.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Такой порядок применения требований к квалификации, содержащихся в квалификационных характеристиках, предусмотрен также </w:t>
      </w:r>
      <w:hyperlink r:id="rId78">
        <w:r>
          <w:rPr>
            <w:color w:val="0000FF"/>
          </w:rPr>
          <w:t>постановлением</w:t>
        </w:r>
      </w:hyperlink>
      <w:r>
        <w:t xml:space="preserve"> Минтруда России от 9 февраля 2004 г. N 9 "Об утверждении Порядка применения Единого квалификационного справочника должностей руководителей, специалистов и служащих" с изменениями, внесенными приказом Минздравсоцразвития России от 25 октября 2010 г. N 921н, а также </w:t>
      </w:r>
      <w:hyperlink r:id="rId79">
        <w:r>
          <w:rPr>
            <w:color w:val="0000FF"/>
          </w:rPr>
          <w:t>пунктом 23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 </w:t>
      </w:r>
      <w:r>
        <w:lastRenderedPageBreak/>
        <w:t>марта 2023 г. N 196 "Об утверждении порядка проведения аттестации педагогических работников организаций, осуществляющих образовательную деятельность" (зарегистрирован Минюстом России 2 июня 2023 г., регистрационный N 73696).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Следовательно, работодатель вправе обратиться в аттестационную комиссию, созданную непосредственно в организации, для получения соответствующей рекомендации, если работодатель считает, что квалификации претендента достаточно для осуществления педагогической деятельности по соответствующей должности. Роль аттестационной комиссии будет состоять в оценке возможностей претендента выполнять предусмотренные по соответствующей должности обязанности с учетом его подготовки, полученной в образовательной организации (в том числе, освоения приемов работы с группами; наличие представления о психологических и правовых аспектах работы; освоения навыков организации занятий с детьми и организации детского досуга; вариантов поведения в экстремальных ситуациях; знания организации режима дня; методик организации коллективных творческих, спортивных и иных мероприятий).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0">
        <w:r>
          <w:rPr>
            <w:color w:val="0000FF"/>
          </w:rPr>
          <w:t>статье 135</w:t>
        </w:r>
      </w:hyperlink>
      <w:r>
        <w:t xml:space="preserve"> Кодекса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8D274C" w:rsidRDefault="008D274C">
      <w:pPr>
        <w:pStyle w:val="ConsPlusNormal"/>
        <w:spacing w:before="220"/>
        <w:ind w:firstLine="540"/>
        <w:jc w:val="both"/>
      </w:pPr>
      <w: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8D274C" w:rsidRDefault="008D274C">
      <w:pPr>
        <w:pStyle w:val="ConsPlusNormal"/>
        <w:jc w:val="both"/>
      </w:pPr>
    </w:p>
    <w:p w:rsidR="008D274C" w:rsidRDefault="008D274C">
      <w:pPr>
        <w:pStyle w:val="ConsPlusNormal"/>
        <w:jc w:val="both"/>
      </w:pPr>
    </w:p>
    <w:p w:rsidR="008D274C" w:rsidRDefault="008D27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5778" w:rsidRDefault="00B15778">
      <w:bookmarkStart w:id="1" w:name="_GoBack"/>
      <w:bookmarkEnd w:id="1"/>
    </w:p>
    <w:sectPr w:rsidR="00B15778" w:rsidSect="0010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C"/>
    <w:rsid w:val="008D274C"/>
    <w:rsid w:val="00B1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4D8D5-B08A-4591-916C-D1E02D7F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7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27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27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182&amp;dst=100448" TargetMode="External"/><Relationship Id="rId18" Type="http://schemas.openxmlformats.org/officeDocument/2006/relationships/hyperlink" Target="https://login.consultant.ru/link/?req=doc&amp;base=LAW&amp;n=494984" TargetMode="External"/><Relationship Id="rId26" Type="http://schemas.openxmlformats.org/officeDocument/2006/relationships/hyperlink" Target="https://login.consultant.ru/link/?req=doc&amp;base=LAW&amp;n=332299&amp;dst=100024" TargetMode="External"/><Relationship Id="rId39" Type="http://schemas.openxmlformats.org/officeDocument/2006/relationships/hyperlink" Target="https://login.consultant.ru/link/?req=doc&amp;base=LAW&amp;n=43729" TargetMode="External"/><Relationship Id="rId21" Type="http://schemas.openxmlformats.org/officeDocument/2006/relationships/hyperlink" Target="https://login.consultant.ru/link/?req=doc&amp;base=LAW&amp;n=502632&amp;dst=100378" TargetMode="External"/><Relationship Id="rId34" Type="http://schemas.openxmlformats.org/officeDocument/2006/relationships/hyperlink" Target="https://login.consultant.ru/link/?req=doc&amp;base=LAW&amp;n=502632&amp;dst=100452" TargetMode="External"/><Relationship Id="rId42" Type="http://schemas.openxmlformats.org/officeDocument/2006/relationships/hyperlink" Target="https://login.consultant.ru/link/?req=doc&amp;base=LAW&amp;n=502632&amp;dst=2332" TargetMode="External"/><Relationship Id="rId47" Type="http://schemas.openxmlformats.org/officeDocument/2006/relationships/hyperlink" Target="https://login.consultant.ru/link/?req=doc&amp;base=LAW&amp;n=325102&amp;dst=100032" TargetMode="External"/><Relationship Id="rId50" Type="http://schemas.openxmlformats.org/officeDocument/2006/relationships/hyperlink" Target="https://login.consultant.ru/link/?req=doc&amp;base=LAW&amp;n=502632&amp;dst=1193" TargetMode="External"/><Relationship Id="rId55" Type="http://schemas.openxmlformats.org/officeDocument/2006/relationships/hyperlink" Target="https://login.consultant.ru/link/?req=doc&amp;base=LAW&amp;n=198999&amp;dst=100033" TargetMode="External"/><Relationship Id="rId63" Type="http://schemas.openxmlformats.org/officeDocument/2006/relationships/hyperlink" Target="https://login.consultant.ru/link/?req=doc&amp;base=LAW&amp;n=502632&amp;dst=164" TargetMode="External"/><Relationship Id="rId68" Type="http://schemas.openxmlformats.org/officeDocument/2006/relationships/hyperlink" Target="https://login.consultant.ru/link/?req=doc&amp;base=LAW&amp;n=502632&amp;dst=712" TargetMode="External"/><Relationship Id="rId76" Type="http://schemas.openxmlformats.org/officeDocument/2006/relationships/hyperlink" Target="https://login.consultant.ru/link/?req=doc&amp;base=LAW&amp;n=427531&amp;dst=100075" TargetMode="External"/><Relationship Id="rId7" Type="http://schemas.openxmlformats.org/officeDocument/2006/relationships/hyperlink" Target="https://login.consultant.ru/link/?req=doc&amp;base=LAW&amp;n=495182&amp;dst=100646" TargetMode="External"/><Relationship Id="rId71" Type="http://schemas.openxmlformats.org/officeDocument/2006/relationships/hyperlink" Target="https://login.consultant.ru/link/?req=doc&amp;base=LAW&amp;n=467020&amp;dst=1001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84&amp;dst=149" TargetMode="External"/><Relationship Id="rId29" Type="http://schemas.openxmlformats.org/officeDocument/2006/relationships/hyperlink" Target="https://login.consultant.ru/link/?req=doc&amp;base=LAW&amp;n=116278" TargetMode="External"/><Relationship Id="rId11" Type="http://schemas.openxmlformats.org/officeDocument/2006/relationships/hyperlink" Target="https://login.consultant.ru/link/?req=doc&amp;base=LAW&amp;n=495182&amp;dst=100032" TargetMode="External"/><Relationship Id="rId24" Type="http://schemas.openxmlformats.org/officeDocument/2006/relationships/hyperlink" Target="https://login.consultant.ru/link/?req=doc&amp;base=LAW&amp;n=495182&amp;dst=100689" TargetMode="External"/><Relationship Id="rId32" Type="http://schemas.openxmlformats.org/officeDocument/2006/relationships/hyperlink" Target="https://login.consultant.ru/link/?req=doc&amp;base=LAW&amp;n=502632&amp;dst=457" TargetMode="External"/><Relationship Id="rId37" Type="http://schemas.openxmlformats.org/officeDocument/2006/relationships/hyperlink" Target="https://login.consultant.ru/link/?req=doc&amp;base=LAW&amp;n=502632" TargetMode="External"/><Relationship Id="rId40" Type="http://schemas.openxmlformats.org/officeDocument/2006/relationships/hyperlink" Target="https://login.consultant.ru/link/?req=doc&amp;base=LAW&amp;n=502632&amp;dst=553" TargetMode="External"/><Relationship Id="rId45" Type="http://schemas.openxmlformats.org/officeDocument/2006/relationships/hyperlink" Target="https://login.consultant.ru/link/?req=doc&amp;base=LAW&amp;n=325102&amp;dst=100011" TargetMode="External"/><Relationship Id="rId53" Type="http://schemas.openxmlformats.org/officeDocument/2006/relationships/hyperlink" Target="https://login.consultant.ru/link/?req=doc&amp;base=LAW&amp;n=198999&amp;dst=100056" TargetMode="External"/><Relationship Id="rId58" Type="http://schemas.openxmlformats.org/officeDocument/2006/relationships/hyperlink" Target="https://login.consultant.ru/link/?req=doc&amp;base=LAW&amp;n=116278&amp;dst=100019" TargetMode="External"/><Relationship Id="rId66" Type="http://schemas.openxmlformats.org/officeDocument/2006/relationships/hyperlink" Target="https://login.consultant.ru/link/?req=doc&amp;base=LAW&amp;n=502632&amp;dst=567" TargetMode="External"/><Relationship Id="rId74" Type="http://schemas.openxmlformats.org/officeDocument/2006/relationships/hyperlink" Target="https://login.consultant.ru/link/?req=doc&amp;base=LAW&amp;n=502632&amp;dst=2110" TargetMode="External"/><Relationship Id="rId79" Type="http://schemas.openxmlformats.org/officeDocument/2006/relationships/hyperlink" Target="https://login.consultant.ru/link/?req=doc&amp;base=LAW&amp;n=448766&amp;dst=100072" TargetMode="External"/><Relationship Id="rId5" Type="http://schemas.openxmlformats.org/officeDocument/2006/relationships/hyperlink" Target="https://login.consultant.ru/link/?req=doc&amp;base=LAW&amp;n=332802" TargetMode="External"/><Relationship Id="rId61" Type="http://schemas.openxmlformats.org/officeDocument/2006/relationships/hyperlink" Target="https://login.consultant.ru/link/?req=doc&amp;base=LAW&amp;n=198999&amp;dst=10007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2&amp;dst=100033" TargetMode="External"/><Relationship Id="rId19" Type="http://schemas.openxmlformats.org/officeDocument/2006/relationships/hyperlink" Target="https://login.consultant.ru/link/?req=doc&amp;base=LAW&amp;n=221686&amp;dst=100006" TargetMode="External"/><Relationship Id="rId31" Type="http://schemas.openxmlformats.org/officeDocument/2006/relationships/hyperlink" Target="https://login.consultant.ru/link/?req=doc&amp;base=LAW&amp;n=502632&amp;dst=440" TargetMode="External"/><Relationship Id="rId44" Type="http://schemas.openxmlformats.org/officeDocument/2006/relationships/hyperlink" Target="https://login.consultant.ru/link/?req=doc&amp;base=LAW&amp;n=325102" TargetMode="External"/><Relationship Id="rId52" Type="http://schemas.openxmlformats.org/officeDocument/2006/relationships/hyperlink" Target="https://login.consultant.ru/link/?req=doc&amp;base=LAW&amp;n=473897" TargetMode="External"/><Relationship Id="rId60" Type="http://schemas.openxmlformats.org/officeDocument/2006/relationships/hyperlink" Target="https://login.consultant.ru/link/?req=doc&amp;base=LAW&amp;n=198999&amp;dst=100069" TargetMode="External"/><Relationship Id="rId65" Type="http://schemas.openxmlformats.org/officeDocument/2006/relationships/hyperlink" Target="https://login.consultant.ru/link/?req=doc&amp;base=LAW&amp;n=325102&amp;dst=100057" TargetMode="External"/><Relationship Id="rId73" Type="http://schemas.openxmlformats.org/officeDocument/2006/relationships/hyperlink" Target="https://login.consultant.ru/link/?req=doc&amp;base=LAW&amp;n=502632&amp;dst=100861" TargetMode="External"/><Relationship Id="rId78" Type="http://schemas.openxmlformats.org/officeDocument/2006/relationships/hyperlink" Target="https://login.consultant.ru/link/?req=doc&amp;base=LAW&amp;n=107498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0743&amp;dst=100009" TargetMode="External"/><Relationship Id="rId14" Type="http://schemas.openxmlformats.org/officeDocument/2006/relationships/hyperlink" Target="https://login.consultant.ru/link/?req=doc&amp;base=LAW&amp;n=495182&amp;dst=100451" TargetMode="External"/><Relationship Id="rId22" Type="http://schemas.openxmlformats.org/officeDocument/2006/relationships/hyperlink" Target="https://login.consultant.ru/link/?req=doc&amp;base=LAW&amp;n=495182&amp;dst=100649" TargetMode="External"/><Relationship Id="rId27" Type="http://schemas.openxmlformats.org/officeDocument/2006/relationships/hyperlink" Target="https://login.consultant.ru/link/?req=doc&amp;base=LAW&amp;n=502632&amp;dst=100463" TargetMode="External"/><Relationship Id="rId30" Type="http://schemas.openxmlformats.org/officeDocument/2006/relationships/hyperlink" Target="https://login.consultant.ru/link/?req=doc&amp;base=LAW&amp;n=116278&amp;dst=100019" TargetMode="External"/><Relationship Id="rId35" Type="http://schemas.openxmlformats.org/officeDocument/2006/relationships/hyperlink" Target="https://login.consultant.ru/link/?req=doc&amp;base=LAW&amp;n=502632&amp;dst=394" TargetMode="External"/><Relationship Id="rId43" Type="http://schemas.openxmlformats.org/officeDocument/2006/relationships/hyperlink" Target="https://login.consultant.ru/link/?req=doc&amp;base=LAW&amp;n=502632&amp;dst=101878" TargetMode="External"/><Relationship Id="rId48" Type="http://schemas.openxmlformats.org/officeDocument/2006/relationships/hyperlink" Target="https://login.consultant.ru/link/?req=doc&amp;base=LAW&amp;n=325102&amp;dst=100043" TargetMode="External"/><Relationship Id="rId56" Type="http://schemas.openxmlformats.org/officeDocument/2006/relationships/hyperlink" Target="https://login.consultant.ru/link/?req=doc&amp;base=LAW&amp;n=116278&amp;dst=100011" TargetMode="External"/><Relationship Id="rId64" Type="http://schemas.openxmlformats.org/officeDocument/2006/relationships/hyperlink" Target="https://login.consultant.ru/link/?req=doc&amp;base=LAW&amp;n=502632&amp;dst=102489" TargetMode="External"/><Relationship Id="rId69" Type="http://schemas.openxmlformats.org/officeDocument/2006/relationships/hyperlink" Target="https://login.consultant.ru/link/?req=doc&amp;base=LAW&amp;n=502632&amp;dst=689" TargetMode="External"/><Relationship Id="rId77" Type="http://schemas.openxmlformats.org/officeDocument/2006/relationships/hyperlink" Target="https://login.consultant.ru/link/?req=doc&amp;base=LAW&amp;n=116278&amp;dst=100023" TargetMode="External"/><Relationship Id="rId8" Type="http://schemas.openxmlformats.org/officeDocument/2006/relationships/hyperlink" Target="https://login.consultant.ru/link/?req=doc&amp;base=LAW&amp;n=495182&amp;dst=100648" TargetMode="External"/><Relationship Id="rId51" Type="http://schemas.openxmlformats.org/officeDocument/2006/relationships/hyperlink" Target="https://login.consultant.ru/link/?req=doc&amp;base=LAW&amp;n=215215" TargetMode="External"/><Relationship Id="rId72" Type="http://schemas.openxmlformats.org/officeDocument/2006/relationships/hyperlink" Target="https://login.consultant.ru/link/?req=doc&amp;base=LAW&amp;n=463873&amp;dst=100009" TargetMode="External"/><Relationship Id="rId80" Type="http://schemas.openxmlformats.org/officeDocument/2006/relationships/hyperlink" Target="https://login.consultant.ru/link/?req=doc&amp;base=LAW&amp;n=502632&amp;dst=6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182&amp;dst=100449" TargetMode="External"/><Relationship Id="rId17" Type="http://schemas.openxmlformats.org/officeDocument/2006/relationships/hyperlink" Target="https://login.consultant.ru/link/?req=doc&amp;base=LAW&amp;n=494984" TargetMode="External"/><Relationship Id="rId25" Type="http://schemas.openxmlformats.org/officeDocument/2006/relationships/hyperlink" Target="https://login.consultant.ru/link/?req=doc&amp;base=LAW&amp;n=502632&amp;dst=1594" TargetMode="External"/><Relationship Id="rId33" Type="http://schemas.openxmlformats.org/officeDocument/2006/relationships/hyperlink" Target="https://login.consultant.ru/link/?req=doc&amp;base=LAW&amp;n=502632&amp;dst=100186" TargetMode="External"/><Relationship Id="rId38" Type="http://schemas.openxmlformats.org/officeDocument/2006/relationships/hyperlink" Target="https://login.consultant.ru/link/?req=doc&amp;base=LAW&amp;n=502632&amp;dst=1093" TargetMode="External"/><Relationship Id="rId46" Type="http://schemas.openxmlformats.org/officeDocument/2006/relationships/hyperlink" Target="https://login.consultant.ru/link/?req=doc&amp;base=LAW&amp;n=325102&amp;dst=100014" TargetMode="External"/><Relationship Id="rId59" Type="http://schemas.openxmlformats.org/officeDocument/2006/relationships/hyperlink" Target="https://login.consultant.ru/link/?req=doc&amp;base=LAW&amp;n=502632&amp;dst=100745" TargetMode="External"/><Relationship Id="rId67" Type="http://schemas.openxmlformats.org/officeDocument/2006/relationships/hyperlink" Target="https://login.consultant.ru/link/?req=doc&amp;base=LAW&amp;n=502632&amp;dst=567" TargetMode="External"/><Relationship Id="rId20" Type="http://schemas.openxmlformats.org/officeDocument/2006/relationships/hyperlink" Target="https://login.consultant.ru/link/?req=doc&amp;base=LAW&amp;n=502632&amp;dst=100141" TargetMode="External"/><Relationship Id="rId41" Type="http://schemas.openxmlformats.org/officeDocument/2006/relationships/hyperlink" Target="https://login.consultant.ru/link/?req=doc&amp;base=LAW&amp;n=502632&amp;dst=1190" TargetMode="External"/><Relationship Id="rId54" Type="http://schemas.openxmlformats.org/officeDocument/2006/relationships/hyperlink" Target="https://login.consultant.ru/link/?req=doc&amp;base=LAW&amp;n=198999&amp;dst=100057" TargetMode="External"/><Relationship Id="rId62" Type="http://schemas.openxmlformats.org/officeDocument/2006/relationships/hyperlink" Target="https://login.consultant.ru/link/?req=doc&amp;base=LAW&amp;n=502632&amp;dst=739" TargetMode="External"/><Relationship Id="rId70" Type="http://schemas.openxmlformats.org/officeDocument/2006/relationships/hyperlink" Target="https://login.consultant.ru/link/?req=doc&amp;base=LAW&amp;n=502632&amp;dst=656" TargetMode="External"/><Relationship Id="rId75" Type="http://schemas.openxmlformats.org/officeDocument/2006/relationships/hyperlink" Target="https://login.consultant.ru/link/?req=doc&amp;base=LAW&amp;n=495182&amp;dst=4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st=100034" TargetMode="External"/><Relationship Id="rId15" Type="http://schemas.openxmlformats.org/officeDocument/2006/relationships/hyperlink" Target="https://login.consultant.ru/link/?req=doc&amp;base=LAW&amp;n=495182&amp;dst=100454" TargetMode="External"/><Relationship Id="rId23" Type="http://schemas.openxmlformats.org/officeDocument/2006/relationships/hyperlink" Target="https://login.consultant.ru/link/?req=doc&amp;base=LAW&amp;n=495182&amp;dst=417" TargetMode="External"/><Relationship Id="rId28" Type="http://schemas.openxmlformats.org/officeDocument/2006/relationships/hyperlink" Target="https://login.consultant.ru/link/?req=doc&amp;base=LAW&amp;n=502632&amp;dst=338" TargetMode="External"/><Relationship Id="rId36" Type="http://schemas.openxmlformats.org/officeDocument/2006/relationships/hyperlink" Target="https://login.consultant.ru/link/?req=doc&amp;base=LAW&amp;n=502632&amp;dst=101699" TargetMode="External"/><Relationship Id="rId49" Type="http://schemas.openxmlformats.org/officeDocument/2006/relationships/hyperlink" Target="https://login.consultant.ru/link/?req=doc&amp;base=LAW&amp;n=502632&amp;dst=101698" TargetMode="External"/><Relationship Id="rId57" Type="http://schemas.openxmlformats.org/officeDocument/2006/relationships/hyperlink" Target="https://login.consultant.ru/link/?req=doc&amp;base=LAW&amp;n=198999&amp;dst=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6045</Words>
  <Characters>34459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Маркарьянц Светлана Сергеевна</dc:creator>
  <cp:keywords/>
  <dc:description/>
  <cp:lastModifiedBy>Маркарьянц Светлана Сергеевна</cp:lastModifiedBy>
  <cp:revision>1</cp:revision>
  <dcterms:created xsi:type="dcterms:W3CDTF">2025-04-10T08:13:00Z</dcterms:created>
  <dcterms:modified xsi:type="dcterms:W3CDTF">2025-04-10T08:14:00Z</dcterms:modified>
</cp:coreProperties>
</file>